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D1" w:rsidRPr="009E6FD1" w:rsidRDefault="009E6FD1" w:rsidP="009E6FD1">
      <w:pPr>
        <w:jc w:val="center"/>
        <w:rPr>
          <w:rFonts w:ascii="Times New Roman" w:hAnsi="Times New Roman" w:cs="Times New Roman"/>
          <w:b/>
          <w:sz w:val="32"/>
          <w:szCs w:val="32"/>
          <w:lang w:val="ro-MD"/>
        </w:rPr>
      </w:pPr>
      <w:r w:rsidRPr="009E6FD1">
        <w:rPr>
          <w:rFonts w:ascii="Times New Roman" w:hAnsi="Times New Roman" w:cs="Times New Roman"/>
          <w:b/>
          <w:sz w:val="32"/>
          <w:szCs w:val="32"/>
          <w:lang w:val="ro-MD"/>
        </w:rPr>
        <w:t>Cu titlu de informație,</w:t>
      </w:r>
    </w:p>
    <w:p w:rsidR="009E6FD1" w:rsidRPr="009E6FD1" w:rsidRDefault="009E6FD1" w:rsidP="009E6FD1">
      <w:pPr>
        <w:ind w:firstLine="708"/>
        <w:rPr>
          <w:rFonts w:ascii="Times New Roman" w:hAnsi="Times New Roman" w:cs="Times New Roman"/>
          <w:sz w:val="24"/>
          <w:szCs w:val="24"/>
          <w:lang w:val="ro-MD"/>
        </w:rPr>
      </w:pPr>
      <w:r w:rsidRPr="009E6FD1">
        <w:rPr>
          <w:rFonts w:ascii="Times New Roman" w:hAnsi="Times New Roman" w:cs="Times New Roman"/>
          <w:sz w:val="24"/>
          <w:szCs w:val="24"/>
          <w:lang w:val="ro-MD"/>
        </w:rPr>
        <w:t>Administrația Judecătoriei Hîncești, aduce la cunoștința tuturor justițiabililor și reprezentanților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acestora prevederile legale ce vizează eliberarea repetată a copiilor(duplicatelor) actelor judecătorești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precum și copiile altor documente din dosare, și copia înregistrării audio a ședinței de judecată.</w:t>
      </w:r>
    </w:p>
    <w:p w:rsidR="009E6FD1" w:rsidRPr="009E6FD1" w:rsidRDefault="009E6FD1" w:rsidP="00E87B7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9E6FD1">
        <w:rPr>
          <w:rFonts w:ascii="Times New Roman" w:hAnsi="Times New Roman" w:cs="Times New Roman"/>
          <w:sz w:val="24"/>
          <w:szCs w:val="24"/>
          <w:lang w:val="ro-MD"/>
        </w:rPr>
        <w:t xml:space="preserve">Conform prevederilor </w:t>
      </w:r>
      <w:r w:rsidRPr="009E6FD1">
        <w:rPr>
          <w:rFonts w:ascii="Times New Roman" w:hAnsi="Times New Roman" w:cs="Times New Roman"/>
          <w:b/>
          <w:sz w:val="24"/>
          <w:szCs w:val="24"/>
          <w:lang w:val="ro-MD"/>
        </w:rPr>
        <w:t>Instrucțiunii referitor la activitatea de evidență şi documentare</w:t>
      </w:r>
    </w:p>
    <w:p w:rsidR="009E6FD1" w:rsidRDefault="009E6FD1" w:rsidP="00E87B79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9E6FD1">
        <w:rPr>
          <w:rFonts w:ascii="Times New Roman" w:hAnsi="Times New Roman" w:cs="Times New Roman"/>
          <w:b/>
          <w:sz w:val="24"/>
          <w:szCs w:val="24"/>
          <w:lang w:val="ro-MD"/>
        </w:rPr>
        <w:t>procesuală în judecătorii şi curțile de apel aprobată prin Hotărârea CSM nr.142/4 din 04.02.2014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, cu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modificările ulterioare,</w:t>
      </w:r>
    </w:p>
    <w:p w:rsidR="00E87B79" w:rsidRPr="009E6FD1" w:rsidRDefault="00E87B79" w:rsidP="00E87B79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9E6FD1" w:rsidRPr="009E6FD1" w:rsidRDefault="009E6FD1" w:rsidP="009E6FD1">
      <w:pPr>
        <w:rPr>
          <w:rFonts w:ascii="Times New Roman" w:hAnsi="Times New Roman" w:cs="Times New Roman"/>
          <w:sz w:val="24"/>
          <w:szCs w:val="24"/>
          <w:lang w:val="ro-MD"/>
        </w:rPr>
      </w:pPr>
      <w:r w:rsidRPr="009E6FD1">
        <w:rPr>
          <w:rFonts w:ascii="Times New Roman" w:hAnsi="Times New Roman" w:cs="Times New Roman"/>
          <w:b/>
          <w:sz w:val="24"/>
          <w:szCs w:val="24"/>
          <w:lang w:val="ro-MD"/>
        </w:rPr>
        <w:t>pct. 220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. Acces la dosarele parvenite în instanța de judecată au doar participanții la proces şi avocații în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bază de mandat.</w:t>
      </w:r>
    </w:p>
    <w:p w:rsidR="009E6FD1" w:rsidRPr="009E6FD1" w:rsidRDefault="009E6FD1" w:rsidP="009E6FD1">
      <w:pPr>
        <w:rPr>
          <w:rFonts w:ascii="Times New Roman" w:hAnsi="Times New Roman" w:cs="Times New Roman"/>
          <w:sz w:val="24"/>
          <w:szCs w:val="24"/>
          <w:lang w:val="ro-MD"/>
        </w:rPr>
      </w:pPr>
      <w:r w:rsidRPr="009E6FD1">
        <w:rPr>
          <w:rFonts w:ascii="Times New Roman" w:hAnsi="Times New Roman" w:cs="Times New Roman"/>
          <w:b/>
          <w:sz w:val="24"/>
          <w:szCs w:val="24"/>
          <w:lang w:val="ro-MD"/>
        </w:rPr>
        <w:t>pct. 224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. La cererea participanților la proces şi altor persoane interesate, instanțele de judecată nu vor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elibera copia dosarului. Instanța de judecată în care se află dosarul la momentul depunerii cererii privind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eliberarea copiei dosarului (actelor judecătorești), va elibera numai copiile hotărârilor judecătorești. Cu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celelalte materiale ale dosarului participanții pot face cunoștință în conformitate cu legislația în vigoare.</w:t>
      </w:r>
      <w:bookmarkStart w:id="0" w:name="_GoBack"/>
      <w:bookmarkEnd w:id="0"/>
    </w:p>
    <w:p w:rsidR="009E6FD1" w:rsidRPr="009E6FD1" w:rsidRDefault="009E6FD1" w:rsidP="009E6FD1">
      <w:pPr>
        <w:rPr>
          <w:rFonts w:ascii="Times New Roman" w:hAnsi="Times New Roman" w:cs="Times New Roman"/>
          <w:sz w:val="24"/>
          <w:szCs w:val="24"/>
          <w:lang w:val="ro-MD"/>
        </w:rPr>
      </w:pPr>
      <w:r w:rsidRPr="009E6FD1">
        <w:rPr>
          <w:rFonts w:ascii="Times New Roman" w:hAnsi="Times New Roman" w:cs="Times New Roman"/>
          <w:b/>
          <w:sz w:val="24"/>
          <w:szCs w:val="24"/>
          <w:lang w:val="ro-MD"/>
        </w:rPr>
        <w:t>pct. 225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. Pentru eliberarea copiilor hotărârilor în mod repetat şi a altor materiale din dosar se încasează taxa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de stat în mărimea şi în ordinea stabilită de Legea cu privire la taxa de stat.</w:t>
      </w:r>
    </w:p>
    <w:p w:rsidR="009E6FD1" w:rsidRPr="009E6FD1" w:rsidRDefault="009E6FD1" w:rsidP="009E6FD1">
      <w:pPr>
        <w:ind w:firstLine="708"/>
        <w:rPr>
          <w:rFonts w:ascii="Times New Roman" w:hAnsi="Times New Roman" w:cs="Times New Roman"/>
          <w:sz w:val="24"/>
          <w:szCs w:val="24"/>
          <w:lang w:val="ro-MD"/>
        </w:rPr>
      </w:pPr>
      <w:r w:rsidRPr="009E6FD1">
        <w:rPr>
          <w:rFonts w:ascii="Times New Roman" w:hAnsi="Times New Roman" w:cs="Times New Roman"/>
          <w:b/>
          <w:sz w:val="24"/>
          <w:szCs w:val="24"/>
          <w:lang w:val="ro-MD"/>
        </w:rPr>
        <w:t>Și în conformitate cu prevederile Legii taxei de stat nr.1216 din 03.12.1992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, cu modificările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ulterioare,</w:t>
      </w:r>
    </w:p>
    <w:p w:rsidR="009E6FD1" w:rsidRPr="009E6FD1" w:rsidRDefault="009E6FD1" w:rsidP="009E6FD1">
      <w:pPr>
        <w:rPr>
          <w:rFonts w:ascii="Times New Roman" w:hAnsi="Times New Roman" w:cs="Times New Roman"/>
          <w:sz w:val="24"/>
          <w:szCs w:val="24"/>
          <w:lang w:val="ro-MD"/>
        </w:rPr>
      </w:pPr>
      <w:r w:rsidRPr="009E6FD1">
        <w:rPr>
          <w:rFonts w:ascii="Times New Roman" w:hAnsi="Times New Roman" w:cs="Times New Roman"/>
          <w:b/>
          <w:sz w:val="24"/>
          <w:szCs w:val="24"/>
          <w:lang w:val="ro-MD"/>
        </w:rPr>
        <w:t>Art. 2. alin(1) Taxa de stat se încasează: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1) pentru cererile de chemare în judecată, pentru cererile terților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care au revendicări de sine stătătoare, pentru cererile cu privire la litigiile precontractuale, pentru cererile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(plângerile) vizând cauzele cu procedură specială, pentru plângerile de apel şi de recurs, pentru cererile de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revizuire, precum şi pentru eliberarea de către instanța judecătorească a copiilor (duplicatelor) de pe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documente; [...]</w:t>
      </w:r>
    </w:p>
    <w:p w:rsidR="009E6FD1" w:rsidRPr="009E6FD1" w:rsidRDefault="009E6FD1" w:rsidP="009E6FD1">
      <w:pPr>
        <w:rPr>
          <w:rFonts w:ascii="Times New Roman" w:hAnsi="Times New Roman" w:cs="Times New Roman"/>
          <w:sz w:val="24"/>
          <w:szCs w:val="24"/>
          <w:lang w:val="ro-MD"/>
        </w:rPr>
      </w:pPr>
      <w:r w:rsidRPr="009E6FD1">
        <w:rPr>
          <w:rFonts w:ascii="Times New Roman" w:hAnsi="Times New Roman" w:cs="Times New Roman"/>
          <w:b/>
          <w:sz w:val="24"/>
          <w:szCs w:val="24"/>
          <w:lang w:val="ro-MD"/>
        </w:rPr>
        <w:t>Art. 3. Alin. (1) Tarifele taxei de stat se stabilesc la următoarele cuantumuri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:rsidR="009E6FD1" w:rsidRPr="009E6FD1" w:rsidRDefault="009E6FD1" w:rsidP="009E6FD1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9E6FD1">
        <w:rPr>
          <w:rFonts w:ascii="Times New Roman" w:hAnsi="Times New Roman" w:cs="Times New Roman"/>
          <w:b/>
          <w:sz w:val="24"/>
          <w:szCs w:val="24"/>
          <w:lang w:val="ro-MD"/>
        </w:rPr>
        <w:t>lit. m)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 xml:space="preserve"> pentru eliberarea copiilor (duplicatelor)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</w:t>
      </w:r>
      <w:r w:rsidRPr="009E6FD1">
        <w:rPr>
          <w:rFonts w:ascii="Times New Roman" w:hAnsi="Times New Roman" w:cs="Times New Roman"/>
          <w:b/>
          <w:sz w:val="24"/>
          <w:szCs w:val="24"/>
          <w:lang w:val="ro-MD"/>
        </w:rPr>
        <w:t>50%* pentru fiecare document</w:t>
      </w:r>
    </w:p>
    <w:p w:rsidR="009E6FD1" w:rsidRPr="009E6FD1" w:rsidRDefault="009E6FD1" w:rsidP="009E6FD1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9E6FD1">
        <w:rPr>
          <w:rFonts w:ascii="Times New Roman" w:hAnsi="Times New Roman" w:cs="Times New Roman"/>
          <w:sz w:val="24"/>
          <w:szCs w:val="24"/>
          <w:lang w:val="ro-MD"/>
        </w:rPr>
        <w:t xml:space="preserve">repetate de pe hotărârea, sentința, încheierea,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</w:t>
      </w:r>
      <w:r w:rsidRPr="009E6FD1">
        <w:rPr>
          <w:rFonts w:ascii="Times New Roman" w:hAnsi="Times New Roman" w:cs="Times New Roman"/>
          <w:b/>
          <w:sz w:val="24"/>
          <w:szCs w:val="24"/>
          <w:lang w:val="ro-MD"/>
        </w:rPr>
        <w:t>şi, suplimentar,</w:t>
      </w:r>
    </w:p>
    <w:p w:rsidR="009E6FD1" w:rsidRPr="009E6FD1" w:rsidRDefault="009E6FD1" w:rsidP="009E6FD1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9E6FD1">
        <w:rPr>
          <w:rFonts w:ascii="Times New Roman" w:hAnsi="Times New Roman" w:cs="Times New Roman"/>
          <w:sz w:val="24"/>
          <w:szCs w:val="24"/>
          <w:lang w:val="ro-MD"/>
        </w:rPr>
        <w:t xml:space="preserve">decizia instanței judecătorești,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                  </w:t>
      </w:r>
      <w:r w:rsidRPr="009E6FD1">
        <w:rPr>
          <w:rFonts w:ascii="Times New Roman" w:hAnsi="Times New Roman" w:cs="Times New Roman"/>
          <w:b/>
          <w:sz w:val="24"/>
          <w:szCs w:val="24"/>
          <w:lang w:val="ro-MD"/>
        </w:rPr>
        <w:t>2%* pentru fiecare pagină</w:t>
      </w:r>
    </w:p>
    <w:p w:rsidR="009E6FD1" w:rsidRPr="009E6FD1" w:rsidRDefault="009E6FD1" w:rsidP="009E6FD1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9E6FD1">
        <w:rPr>
          <w:rFonts w:ascii="Times New Roman" w:hAnsi="Times New Roman" w:cs="Times New Roman"/>
          <w:sz w:val="24"/>
          <w:szCs w:val="24"/>
          <w:lang w:val="ro-MD"/>
        </w:rPr>
        <w:t>precum şi a copiilor de pe alte documente din dosar,</w:t>
      </w:r>
    </w:p>
    <w:p w:rsidR="009E6FD1" w:rsidRPr="009E6FD1" w:rsidRDefault="009E6FD1" w:rsidP="009E6FD1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9E6FD1">
        <w:rPr>
          <w:rFonts w:ascii="Times New Roman" w:hAnsi="Times New Roman" w:cs="Times New Roman"/>
          <w:sz w:val="24"/>
          <w:szCs w:val="24"/>
          <w:lang w:val="ro-MD"/>
        </w:rPr>
        <w:t>eliberate de instanța judecătorească la solicitarea</w:t>
      </w:r>
    </w:p>
    <w:p w:rsidR="009E6FD1" w:rsidRPr="009E6FD1" w:rsidRDefault="009E6FD1" w:rsidP="009E6FD1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9E6FD1">
        <w:rPr>
          <w:rFonts w:ascii="Times New Roman" w:hAnsi="Times New Roman" w:cs="Times New Roman"/>
          <w:sz w:val="24"/>
          <w:szCs w:val="24"/>
          <w:lang w:val="ro-MD"/>
        </w:rPr>
        <w:t>părților şi altor persoane participante la proces.</w:t>
      </w:r>
    </w:p>
    <w:p w:rsidR="00E87B79" w:rsidRPr="00E87B79" w:rsidRDefault="009E6FD1" w:rsidP="00E87B79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9E6FD1">
        <w:rPr>
          <w:rFonts w:ascii="Times New Roman" w:hAnsi="Times New Roman" w:cs="Times New Roman"/>
          <w:b/>
          <w:sz w:val="24"/>
          <w:szCs w:val="24"/>
          <w:lang w:val="ro-MD"/>
        </w:rPr>
        <w:t xml:space="preserve">* Cotele procentuale fixe sînt calculate în unități convenționale. Unitatea convențională este egală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cu 20 de lei.</w:t>
      </w:r>
    </w:p>
    <w:p w:rsidR="006120A1" w:rsidRPr="00E87B79" w:rsidRDefault="005A3805" w:rsidP="00E87B79">
      <w:pPr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  <m:oMath>
        <m:f>
          <m:fPr>
            <m:ctrlPr>
              <w:rPr>
                <w:rFonts w:ascii="Cambria Math" w:hAnsi="Cambria Math" w:cs="Times New Roman"/>
                <w:b/>
                <w:lang w:val="ro-MD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lang w:val="ro-MD"/>
              </w:rPr>
              <m:t>50%*20lei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lang w:val="ro-MD"/>
              </w:rPr>
              <m:t>100</m:t>
            </m:r>
          </m:den>
        </m:f>
        <m:r>
          <m:rPr>
            <m:sty m:val="b"/>
          </m:rPr>
          <w:rPr>
            <w:rFonts w:ascii="Cambria Math" w:hAnsi="Cambria Math" w:cs="Times New Roman"/>
            <w:lang w:val="ro-MD"/>
          </w:rPr>
          <m:t>=10,00 lei(per document)</m:t>
        </m:r>
      </m:oMath>
      <w:r w:rsidR="00E87B79" w:rsidRPr="00E87B79">
        <w:rPr>
          <w:rFonts w:ascii="Times New Roman" w:eastAsiaTheme="minorEastAsia" w:hAnsi="Times New Roman" w:cs="Times New Roman"/>
          <w:b/>
          <w:sz w:val="26"/>
          <w:szCs w:val="26"/>
          <w:lang w:val="ro-MD"/>
        </w:rPr>
        <w:t xml:space="preserve">                       </w:t>
      </w:r>
      <m:oMath>
        <m:f>
          <m:fPr>
            <m:ctrlPr>
              <w:rPr>
                <w:rFonts w:ascii="Cambria Math" w:hAnsi="Cambria Math" w:cs="Times New Roman"/>
                <w:b/>
                <w:lang w:val="ro-MD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lang w:val="ro-MD"/>
              </w:rPr>
              <m:t>2%*20lei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lang w:val="ro-MD"/>
              </w:rPr>
              <m:t>100</m:t>
            </m:r>
          </m:den>
        </m:f>
        <m:r>
          <m:rPr>
            <m:sty m:val="b"/>
          </m:rPr>
          <w:rPr>
            <w:rFonts w:ascii="Cambria Math" w:hAnsi="Cambria Math" w:cs="Times New Roman"/>
            <w:lang w:val="ro-MD"/>
          </w:rPr>
          <m:t>=0,40 lei(per pagină)</m:t>
        </m:r>
      </m:oMath>
    </w:p>
    <w:p w:rsidR="009E6FD1" w:rsidRPr="009E6FD1" w:rsidRDefault="009E6FD1" w:rsidP="009E6FD1">
      <w:pPr>
        <w:rPr>
          <w:rFonts w:ascii="Times New Roman" w:hAnsi="Times New Roman" w:cs="Times New Roman"/>
          <w:sz w:val="24"/>
          <w:szCs w:val="24"/>
          <w:lang w:val="ro-MD"/>
        </w:rPr>
      </w:pPr>
      <w:r w:rsidRPr="006120A1">
        <w:rPr>
          <w:rFonts w:ascii="Times New Roman" w:hAnsi="Times New Roman" w:cs="Times New Roman"/>
          <w:b/>
          <w:sz w:val="24"/>
          <w:szCs w:val="24"/>
          <w:lang w:val="ro-MD"/>
        </w:rPr>
        <w:t>Conform art.276</w:t>
      </w:r>
      <w:r w:rsidR="006120A1">
        <w:rPr>
          <w:rFonts w:ascii="Times New Roman" w:hAnsi="Times New Roman" w:cs="Times New Roman"/>
          <w:b/>
          <w:sz w:val="24"/>
          <w:szCs w:val="24"/>
          <w:vertAlign w:val="superscript"/>
          <w:lang w:val="ro-MD"/>
        </w:rPr>
        <w:t>1</w:t>
      </w:r>
      <w:r w:rsidRPr="006120A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alin (1) CPC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 xml:space="preserve"> copia înregistrării audio se elibereaz</w:t>
      </w:r>
      <w:r w:rsidR="006120A1">
        <w:rPr>
          <w:rFonts w:ascii="Times New Roman" w:hAnsi="Times New Roman" w:cs="Times New Roman"/>
          <w:sz w:val="24"/>
          <w:szCs w:val="24"/>
          <w:lang w:val="ro-MD"/>
        </w:rPr>
        <w:t xml:space="preserve">ă în baza unei cereri scrise și 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contra taxei de 20 lei.</w:t>
      </w:r>
    </w:p>
    <w:p w:rsidR="009E6FD1" w:rsidRPr="009E6FD1" w:rsidRDefault="009E6FD1" w:rsidP="009E6FD1">
      <w:pPr>
        <w:rPr>
          <w:rFonts w:ascii="Times New Roman" w:hAnsi="Times New Roman" w:cs="Times New Roman"/>
          <w:sz w:val="24"/>
          <w:szCs w:val="24"/>
          <w:lang w:val="ro-MD"/>
        </w:rPr>
      </w:pPr>
      <w:r w:rsidRPr="00E87B79">
        <w:rPr>
          <w:rFonts w:ascii="Times New Roman" w:hAnsi="Times New Roman" w:cs="Times New Roman"/>
          <w:b/>
          <w:sz w:val="24"/>
          <w:szCs w:val="24"/>
          <w:lang w:val="ro-MD"/>
        </w:rPr>
        <w:t>Rechizitele pentru servicii cu plată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 xml:space="preserve"> (</w:t>
      </w:r>
      <w:r w:rsidRPr="00E87B79">
        <w:rPr>
          <w:rFonts w:ascii="Times New Roman" w:hAnsi="Times New Roman" w:cs="Times New Roman"/>
          <w:i/>
          <w:sz w:val="24"/>
          <w:szCs w:val="24"/>
          <w:lang w:val="ro-MD"/>
        </w:rPr>
        <w:t>copiile actelor judecătorești precum și copiile altor documente din</w:t>
      </w:r>
      <w:r w:rsidR="006120A1" w:rsidRPr="00E87B79">
        <w:rPr>
          <w:rFonts w:ascii="Times New Roman" w:hAnsi="Times New Roman" w:cs="Times New Roman"/>
          <w:i/>
          <w:sz w:val="24"/>
          <w:szCs w:val="24"/>
          <w:lang w:val="ro-MD"/>
        </w:rPr>
        <w:t xml:space="preserve"> </w:t>
      </w:r>
      <w:r w:rsidRPr="00E87B79">
        <w:rPr>
          <w:rFonts w:ascii="Times New Roman" w:hAnsi="Times New Roman" w:cs="Times New Roman"/>
          <w:i/>
          <w:sz w:val="24"/>
          <w:szCs w:val="24"/>
          <w:lang w:val="ro-MD"/>
        </w:rPr>
        <w:t>dosare, înregistrarea ședinței de judecată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):</w:t>
      </w:r>
    </w:p>
    <w:p w:rsidR="009E6FD1" w:rsidRPr="009E6FD1" w:rsidRDefault="009E6FD1" w:rsidP="00E87B79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E87B79">
        <w:rPr>
          <w:rFonts w:ascii="Times New Roman" w:hAnsi="Times New Roman" w:cs="Times New Roman"/>
          <w:b/>
          <w:sz w:val="24"/>
          <w:szCs w:val="24"/>
          <w:lang w:val="ro-MD"/>
        </w:rPr>
        <w:t>Beneficiar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>: Ministerul Finanțelor</w:t>
      </w:r>
    </w:p>
    <w:p w:rsidR="009E6FD1" w:rsidRPr="00E87B79" w:rsidRDefault="009E6FD1" w:rsidP="00E87B79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E87B79">
        <w:rPr>
          <w:rFonts w:ascii="Times New Roman" w:hAnsi="Times New Roman" w:cs="Times New Roman"/>
          <w:b/>
          <w:sz w:val="24"/>
          <w:szCs w:val="24"/>
          <w:lang w:val="ro-MD"/>
        </w:rPr>
        <w:t>Codul IBAN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 xml:space="preserve">: </w:t>
      </w:r>
      <w:r w:rsidR="00E87B79" w:rsidRPr="00E87B7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MD64TRGAAA14222053010000</w:t>
      </w:r>
    </w:p>
    <w:p w:rsidR="009E6FD1" w:rsidRPr="00E87B79" w:rsidRDefault="009E6FD1" w:rsidP="00E87B79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E87B79">
        <w:rPr>
          <w:rFonts w:ascii="Times New Roman" w:hAnsi="Times New Roman" w:cs="Times New Roman"/>
          <w:b/>
          <w:sz w:val="24"/>
          <w:szCs w:val="24"/>
          <w:lang w:val="ro-MD"/>
        </w:rPr>
        <w:t>Codul fiscal</w:t>
      </w:r>
      <w:r w:rsidRPr="00E87B79">
        <w:rPr>
          <w:rFonts w:ascii="Times New Roman" w:hAnsi="Times New Roman" w:cs="Times New Roman"/>
          <w:sz w:val="24"/>
          <w:szCs w:val="24"/>
          <w:lang w:val="ro-MD"/>
        </w:rPr>
        <w:t xml:space="preserve">: </w:t>
      </w:r>
      <w:r w:rsidR="00E87B79" w:rsidRPr="00E87B7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1006601000037</w:t>
      </w:r>
    </w:p>
    <w:p w:rsidR="009E6FD1" w:rsidRDefault="009E6FD1" w:rsidP="00E87B79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E87B79">
        <w:rPr>
          <w:rFonts w:ascii="Times New Roman" w:hAnsi="Times New Roman" w:cs="Times New Roman"/>
          <w:b/>
          <w:sz w:val="24"/>
          <w:szCs w:val="24"/>
          <w:lang w:val="ro-MD"/>
        </w:rPr>
        <w:t>Prestatorul beneficiar</w:t>
      </w:r>
      <w:r w:rsidRPr="009E6FD1">
        <w:rPr>
          <w:rFonts w:ascii="Times New Roman" w:hAnsi="Times New Roman" w:cs="Times New Roman"/>
          <w:sz w:val="24"/>
          <w:szCs w:val="24"/>
          <w:lang w:val="ro-MD"/>
        </w:rPr>
        <w:t xml:space="preserve"> : Ministerul Finanțelor- Trezoreria de Stat</w:t>
      </w:r>
    </w:p>
    <w:p w:rsidR="00E87B79" w:rsidRPr="009E6FD1" w:rsidRDefault="00E87B79" w:rsidP="00E87B79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713251" w:rsidRPr="00E87B79" w:rsidRDefault="009E6FD1" w:rsidP="00E87B79">
      <w:pPr>
        <w:ind w:left="6372" w:firstLine="708"/>
        <w:rPr>
          <w:rFonts w:ascii="Times New Roman" w:hAnsi="Times New Roman" w:cs="Times New Roman"/>
          <w:b/>
          <w:sz w:val="32"/>
          <w:szCs w:val="32"/>
          <w:lang w:val="ro-MD"/>
        </w:rPr>
      </w:pPr>
      <w:r w:rsidRPr="00E87B79">
        <w:rPr>
          <w:rFonts w:ascii="Times New Roman" w:hAnsi="Times New Roman" w:cs="Times New Roman"/>
          <w:b/>
          <w:sz w:val="32"/>
          <w:szCs w:val="32"/>
          <w:lang w:val="ro-MD"/>
        </w:rPr>
        <w:t>Administrația</w:t>
      </w:r>
    </w:p>
    <w:sectPr w:rsidR="00713251" w:rsidRPr="00E87B79" w:rsidSect="006120A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D1"/>
    <w:rsid w:val="005A3805"/>
    <w:rsid w:val="006120A1"/>
    <w:rsid w:val="006847B5"/>
    <w:rsid w:val="00713251"/>
    <w:rsid w:val="009E6FD1"/>
    <w:rsid w:val="00E8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9202B-D988-4498-B501-27DF6E3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20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8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DFC2-D2AA-47AD-93B6-E36F9EEC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Jhn31460808</dc:creator>
  <cp:keywords/>
  <dc:description/>
  <cp:lastModifiedBy>Ion Colta</cp:lastModifiedBy>
  <cp:revision>2</cp:revision>
  <cp:lastPrinted>2021-03-31T12:45:00Z</cp:lastPrinted>
  <dcterms:created xsi:type="dcterms:W3CDTF">2021-03-31T13:26:00Z</dcterms:created>
  <dcterms:modified xsi:type="dcterms:W3CDTF">2021-03-31T13:26:00Z</dcterms:modified>
</cp:coreProperties>
</file>